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687CE" w14:textId="77777777" w:rsidR="00B11734" w:rsidRDefault="00643871">
      <w:pPr>
        <w:jc w:val="center"/>
        <w:rPr>
          <w:b/>
        </w:rPr>
      </w:pPr>
      <w:r>
        <w:rPr>
          <w:b/>
        </w:rPr>
        <w:t xml:space="preserve">Berkeley Campus </w:t>
      </w:r>
    </w:p>
    <w:p w14:paraId="03E4A09D" w14:textId="77777777" w:rsidR="00B11734" w:rsidRDefault="00643871">
      <w:pPr>
        <w:spacing w:after="0"/>
        <w:jc w:val="center"/>
      </w:pPr>
      <w:r>
        <w:t xml:space="preserve">TEMPLATE - Notice Letter for Initial Appointment or Reappointment </w:t>
      </w:r>
      <w:r>
        <w:rPr>
          <w:b/>
        </w:rPr>
        <w:t>(Standard)</w:t>
      </w:r>
    </w:p>
    <w:p w14:paraId="74F2520B" w14:textId="77777777" w:rsidR="00B11734" w:rsidRDefault="00643871">
      <w:pPr>
        <w:spacing w:after="0"/>
        <w:jc w:val="center"/>
      </w:pPr>
      <w:r>
        <w:t>Revised 12/20/24</w:t>
      </w:r>
    </w:p>
    <w:p w14:paraId="0F4253E1" w14:textId="77777777" w:rsidR="00B11734" w:rsidRDefault="00B11734">
      <w:pPr>
        <w:spacing w:after="0"/>
        <w:jc w:val="center"/>
      </w:pPr>
    </w:p>
    <w:p w14:paraId="7E989728" w14:textId="77777777" w:rsidR="00B11734" w:rsidRDefault="00643871">
      <w:r>
        <w:t xml:space="preserve">Relevant Contract Provisions: </w:t>
      </w:r>
    </w:p>
    <w:p w14:paraId="3EEBD11E" w14:textId="77777777" w:rsidR="00B11734" w:rsidRDefault="00643871">
      <w:pPr>
        <w:rPr>
          <w:i/>
          <w:color w:val="0563C1"/>
          <w:u w:val="single"/>
        </w:rPr>
      </w:pPr>
      <w:hyperlink r:id="rId7">
        <w:r>
          <w:rPr>
            <w:i/>
            <w:color w:val="0563C1"/>
            <w:u w:val="single"/>
          </w:rPr>
          <w:t>Article 7a Section C</w:t>
        </w:r>
      </w:hyperlink>
    </w:p>
    <w:p w14:paraId="77C241D7" w14:textId="77777777" w:rsidR="00B11734" w:rsidRDefault="00643871">
      <w:pPr>
        <w:rPr>
          <w:i/>
          <w:color w:val="0563C1"/>
          <w:u w:val="single"/>
        </w:rPr>
      </w:pPr>
      <w:r>
        <w:rPr>
          <w:i/>
          <w:color w:val="0563C1"/>
          <w:u w:val="single"/>
        </w:rPr>
        <w:t>Article 25 Section G.2:</w:t>
      </w:r>
    </w:p>
    <w:p w14:paraId="7264BC0E" w14:textId="77777777" w:rsidR="00B11734" w:rsidRDefault="00643871">
      <w:pPr>
        <w:rPr>
          <w:i/>
          <w:color w:val="0563C1"/>
          <w:u w:val="single"/>
        </w:rPr>
      </w:pPr>
      <w:r>
        <w:rPr>
          <w:i/>
          <w:color w:val="0563C1"/>
          <w:u w:val="single"/>
        </w:rPr>
        <w:t>2. Notification</w:t>
      </w:r>
    </w:p>
    <w:p w14:paraId="1D8F551B" w14:textId="77777777" w:rsidR="00B11734" w:rsidRDefault="00643871">
      <w:pPr>
        <w:ind w:left="720"/>
        <w:rPr>
          <w:i/>
          <w:color w:val="0563C1"/>
          <w:u w:val="single"/>
        </w:rPr>
      </w:pPr>
      <w:r>
        <w:rPr>
          <w:i/>
          <w:color w:val="0563C1"/>
          <w:u w:val="single"/>
        </w:rPr>
        <w:t>a. Unit 18 faculty shall be informed in their appointment letters that there will be a mandatory orientation during their first term.</w:t>
      </w:r>
    </w:p>
    <w:p w14:paraId="1EC0B591" w14:textId="77777777" w:rsidR="00B11734" w:rsidRDefault="00643871">
      <w:pPr>
        <w:ind w:left="720"/>
        <w:rPr>
          <w:i/>
          <w:color w:val="0563C1"/>
          <w:u w:val="single"/>
        </w:rPr>
      </w:pPr>
      <w:r>
        <w:rPr>
          <w:i/>
          <w:color w:val="0563C1"/>
          <w:u w:val="single"/>
        </w:rPr>
        <w:t>b.</w:t>
      </w:r>
      <w:r>
        <w:t xml:space="preserve"> </w:t>
      </w:r>
      <w:r>
        <w:rPr>
          <w:i/>
          <w:color w:val="0563C1"/>
          <w:u w:val="single"/>
        </w:rPr>
        <w:t>All newly-hired Unit 18 faculty at each campus and the UC-</w:t>
      </w:r>
      <w:r>
        <w:t xml:space="preserve"> </w:t>
      </w:r>
      <w:r>
        <w:rPr>
          <w:i/>
          <w:color w:val="0563C1"/>
          <w:u w:val="single"/>
        </w:rPr>
        <w:t>AFT local representative will receive information about the date, time, and place no later than fourteen (14) calendar days in advance of the orientation. For late hires, who are hired less than fourteen (14) calendar prior to the scheduled orientation, the University will notify them of the orientation upon hire</w:t>
      </w:r>
    </w:p>
    <w:p w14:paraId="62023D76" w14:textId="77777777" w:rsidR="00B11734" w:rsidRDefault="00643871">
      <w:pPr>
        <w:rPr>
          <w:i/>
          <w:color w:val="0563C1"/>
          <w:u w:val="single"/>
        </w:rPr>
      </w:pPr>
      <w:r>
        <w:rPr>
          <w:i/>
          <w:color w:val="0563C1"/>
          <w:u w:val="single"/>
        </w:rPr>
        <w:t xml:space="preserve">Article 6 Section .2: </w:t>
      </w:r>
    </w:p>
    <w:p w14:paraId="0AFCC424" w14:textId="77777777" w:rsidR="00B11734" w:rsidRDefault="00643871">
      <w:pPr>
        <w:ind w:left="720"/>
        <w:rPr>
          <w:i/>
          <w:color w:val="2E75B5"/>
        </w:rPr>
      </w:pPr>
      <w:r>
        <w:rPr>
          <w:i/>
          <w:color w:val="2E75B5"/>
        </w:rPr>
        <w:t>NSF appointed for a full academic year (9/12 academic year appointment) at a variable percentage of time in each semester will receive their annual salary in twelve equal monthly  installments. NSF who receive their annual salary in twelve equal monthly installments over the period July 1 through June 30 are prepaid to some extent, e.g., pay begins in July for services not rendered until August.</w:t>
      </w:r>
    </w:p>
    <w:p w14:paraId="1DFD5E9D" w14:textId="77777777" w:rsidR="00B11734" w:rsidRDefault="00B11734"/>
    <w:p w14:paraId="1C237618" w14:textId="77777777" w:rsidR="00B11734" w:rsidRDefault="00643871">
      <w:pPr>
        <w:rPr>
          <w:b/>
          <w:u w:val="single"/>
        </w:rPr>
      </w:pPr>
      <w:r>
        <w:rPr>
          <w:b/>
          <w:u w:val="single"/>
        </w:rPr>
        <w:t>TEMPLATE:</w:t>
      </w:r>
    </w:p>
    <w:p w14:paraId="17762E05" w14:textId="77777777" w:rsidR="00B11734" w:rsidRDefault="00643871">
      <w:pPr>
        <w:rPr>
          <w:b/>
          <w:i/>
        </w:rPr>
      </w:pPr>
      <w:r>
        <w:rPr>
          <w:b/>
          <w:i/>
        </w:rPr>
        <w:t>&lt;&lt;Date&gt;&gt;</w:t>
      </w:r>
    </w:p>
    <w:p w14:paraId="2BD02B3E" w14:textId="77777777" w:rsidR="00B11734" w:rsidRDefault="00643871">
      <w:r>
        <w:t xml:space="preserve">Dear </w:t>
      </w:r>
      <w:r>
        <w:rPr>
          <w:b/>
        </w:rPr>
        <w:t>&lt;&lt;Unit 18 faculty member&gt;&gt;,</w:t>
      </w:r>
    </w:p>
    <w:p w14:paraId="6C17B08E" w14:textId="77777777" w:rsidR="00B11734" w:rsidRDefault="00643871">
      <w:r>
        <w:t xml:space="preserve">I am pleased to offer you an appointment/reappointment </w:t>
      </w:r>
      <w:r>
        <w:rPr>
          <w:color w:val="2E75B5"/>
        </w:rPr>
        <w:t xml:space="preserve">for academic years 2022–23 and 2023–24 </w:t>
      </w:r>
      <w:r>
        <w:t xml:space="preserve">as a </w:t>
      </w:r>
      <w:r>
        <w:rPr>
          <w:b/>
          <w:i/>
        </w:rPr>
        <w:t>&lt;&lt;insert title of position&gt;&gt;</w:t>
      </w:r>
      <w:r>
        <w:t xml:space="preserve"> in the Department of </w:t>
      </w:r>
      <w:r>
        <w:rPr>
          <w:b/>
          <w:i/>
        </w:rPr>
        <w:t>&lt;&lt;insert department/program/unit&gt;&gt;</w:t>
      </w:r>
      <w:r>
        <w:t xml:space="preserve"> in the </w:t>
      </w:r>
      <w:r>
        <w:rPr>
          <w:b/>
        </w:rPr>
        <w:t xml:space="preserve">&lt;&lt;School/College/Division&gt;&gt;, effective </w:t>
      </w:r>
      <w:r>
        <w:rPr>
          <w:b/>
          <w:i/>
        </w:rPr>
        <w:t xml:space="preserve">&lt;&lt;insert start/end dates&gt;&gt;. </w:t>
      </w:r>
      <w:r>
        <w:t>Details of your appointment follow.</w:t>
      </w:r>
    </w:p>
    <w:p w14:paraId="63DD18EA" w14:textId="77777777" w:rsidR="00B11734" w:rsidRDefault="00B11734"/>
    <w:p w14:paraId="3411C76A" w14:textId="77777777" w:rsidR="00B11734" w:rsidRDefault="00643871">
      <w:pPr>
        <w:rPr>
          <w:i/>
        </w:rPr>
      </w:pPr>
      <w:r>
        <w:t xml:space="preserve">Academic Year </w:t>
      </w:r>
      <w:r>
        <w:rPr>
          <w:b/>
          <w:i/>
        </w:rPr>
        <w:t>&lt;&lt;insert AY&gt;&gt;</w:t>
      </w:r>
    </w:p>
    <w:p w14:paraId="291BF165" w14:textId="77777777" w:rsidR="00B11734" w:rsidRDefault="00643871">
      <w:pPr>
        <w:pBdr>
          <w:top w:val="nil"/>
          <w:left w:val="nil"/>
          <w:bottom w:val="nil"/>
          <w:right w:val="nil"/>
          <w:between w:val="nil"/>
        </w:pBdr>
        <w:spacing w:after="0" w:line="240" w:lineRule="auto"/>
        <w:ind w:firstLine="720"/>
        <w:rPr>
          <w:color w:val="000000"/>
        </w:rPr>
      </w:pPr>
      <w:r>
        <w:rPr>
          <w:color w:val="000000"/>
        </w:rPr>
        <w:t xml:space="preserve">Pay Period Dates: </w:t>
      </w:r>
    </w:p>
    <w:p w14:paraId="300878E6" w14:textId="77777777" w:rsidR="00B11734" w:rsidRDefault="00643871">
      <w:pPr>
        <w:pBdr>
          <w:top w:val="nil"/>
          <w:left w:val="nil"/>
          <w:bottom w:val="nil"/>
          <w:right w:val="nil"/>
          <w:between w:val="nil"/>
        </w:pBdr>
        <w:spacing w:after="0" w:line="240" w:lineRule="auto"/>
        <w:ind w:firstLine="720"/>
        <w:rPr>
          <w:color w:val="000000"/>
        </w:rPr>
      </w:pPr>
      <w:r>
        <w:rPr>
          <w:color w:val="000000"/>
        </w:rPr>
        <w:t xml:space="preserve">Service Period Dates: </w:t>
      </w:r>
    </w:p>
    <w:p w14:paraId="5012D4CA" w14:textId="77777777" w:rsidR="00B11734" w:rsidRDefault="00643871">
      <w:pPr>
        <w:pBdr>
          <w:top w:val="nil"/>
          <w:left w:val="nil"/>
          <w:bottom w:val="nil"/>
          <w:right w:val="nil"/>
          <w:between w:val="nil"/>
        </w:pBdr>
        <w:spacing w:after="0" w:line="240" w:lineRule="auto"/>
        <w:ind w:firstLine="720"/>
        <w:rPr>
          <w:color w:val="000000"/>
        </w:rPr>
      </w:pPr>
      <w:r>
        <w:rPr>
          <w:color w:val="000000"/>
        </w:rPr>
        <w:t>Percent of Time for the academic or fiscal year:</w:t>
      </w:r>
    </w:p>
    <w:p w14:paraId="7D7A1CED" w14:textId="77777777" w:rsidR="00B11734" w:rsidRDefault="00643871">
      <w:pPr>
        <w:pBdr>
          <w:top w:val="nil"/>
          <w:left w:val="nil"/>
          <w:bottom w:val="nil"/>
          <w:right w:val="nil"/>
          <w:between w:val="nil"/>
        </w:pBdr>
        <w:spacing w:after="0" w:line="240" w:lineRule="auto"/>
        <w:ind w:firstLine="720"/>
        <w:rPr>
          <w:color w:val="2E75B5"/>
        </w:rPr>
      </w:pPr>
      <w:r>
        <w:rPr>
          <w:color w:val="2E75B5"/>
        </w:rPr>
        <w:t>For Variable percentages:</w:t>
      </w:r>
    </w:p>
    <w:p w14:paraId="50B49E3E" w14:textId="77777777" w:rsidR="00B11734" w:rsidRDefault="00643871">
      <w:pPr>
        <w:pBdr>
          <w:top w:val="nil"/>
          <w:left w:val="nil"/>
          <w:bottom w:val="nil"/>
          <w:right w:val="nil"/>
          <w:between w:val="nil"/>
        </w:pBdr>
        <w:spacing w:after="0" w:line="240" w:lineRule="auto"/>
        <w:ind w:firstLine="720"/>
        <w:rPr>
          <w:color w:val="2E75B5"/>
        </w:rPr>
      </w:pPr>
      <w:r>
        <w:rPr>
          <w:color w:val="2E75B5"/>
        </w:rPr>
        <w:t>Percent of Time for fall semester:</w:t>
      </w:r>
    </w:p>
    <w:p w14:paraId="3C278AF6" w14:textId="77777777" w:rsidR="00B11734" w:rsidRDefault="00643871">
      <w:pPr>
        <w:pBdr>
          <w:top w:val="nil"/>
          <w:left w:val="nil"/>
          <w:bottom w:val="nil"/>
          <w:right w:val="nil"/>
          <w:between w:val="nil"/>
        </w:pBdr>
        <w:spacing w:after="0" w:line="240" w:lineRule="auto"/>
        <w:ind w:firstLine="720"/>
        <w:rPr>
          <w:color w:val="2E75B5"/>
        </w:rPr>
      </w:pPr>
      <w:r>
        <w:rPr>
          <w:color w:val="2E75B5"/>
        </w:rPr>
        <w:t>Percent of Time for Spring semester:</w:t>
      </w:r>
    </w:p>
    <w:p w14:paraId="540AE26C" w14:textId="77777777" w:rsidR="00B11734" w:rsidRDefault="00643871">
      <w:pPr>
        <w:pBdr>
          <w:top w:val="nil"/>
          <w:left w:val="nil"/>
          <w:bottom w:val="nil"/>
          <w:right w:val="nil"/>
          <w:between w:val="nil"/>
        </w:pBdr>
        <w:spacing w:after="0" w:line="240" w:lineRule="auto"/>
        <w:ind w:firstLine="720"/>
        <w:rPr>
          <w:color w:val="2E75B5"/>
        </w:rPr>
      </w:pPr>
      <w:r>
        <w:rPr>
          <w:color w:val="2E75B5"/>
        </w:rPr>
        <w:t>Average Percent for AY:</w:t>
      </w:r>
    </w:p>
    <w:p w14:paraId="409D2805" w14:textId="77777777" w:rsidR="00B11734" w:rsidRDefault="00643871">
      <w:pPr>
        <w:pBdr>
          <w:top w:val="nil"/>
          <w:left w:val="nil"/>
          <w:bottom w:val="nil"/>
          <w:right w:val="nil"/>
          <w:between w:val="nil"/>
        </w:pBdr>
        <w:spacing w:after="0" w:line="240" w:lineRule="auto"/>
        <w:ind w:firstLine="720"/>
        <w:rPr>
          <w:color w:val="000000"/>
        </w:rPr>
      </w:pPr>
      <w:r>
        <w:rPr>
          <w:color w:val="000000"/>
        </w:rPr>
        <w:lastRenderedPageBreak/>
        <w:t>Annual Salary Rate:</w:t>
      </w:r>
    </w:p>
    <w:p w14:paraId="68151909" w14:textId="77777777" w:rsidR="00B11734" w:rsidRDefault="00643871">
      <w:pPr>
        <w:pBdr>
          <w:top w:val="nil"/>
          <w:left w:val="nil"/>
          <w:bottom w:val="nil"/>
          <w:right w:val="nil"/>
          <w:between w:val="nil"/>
        </w:pBdr>
        <w:spacing w:after="0" w:line="240" w:lineRule="auto"/>
        <w:ind w:left="720"/>
        <w:rPr>
          <w:color w:val="000000"/>
        </w:rPr>
      </w:pPr>
      <w:r>
        <w:rPr>
          <w:color w:val="000000"/>
        </w:rPr>
        <w:t xml:space="preserve">Gross semester-by-semester in-unit monthly earnings for the first year of the appointment: </w:t>
      </w:r>
      <w:r>
        <w:rPr>
          <w:b/>
          <w:color w:val="000000"/>
        </w:rPr>
        <w:t>&lt;&lt;</w:t>
      </w:r>
      <w:r>
        <w:rPr>
          <w:b/>
          <w:i/>
          <w:color w:val="000000"/>
        </w:rPr>
        <w:t>only required for first year of appointment/reappointment</w:t>
      </w:r>
      <w:r>
        <w:rPr>
          <w:b/>
          <w:color w:val="000000"/>
        </w:rPr>
        <w:t>&gt;&gt;</w:t>
      </w:r>
    </w:p>
    <w:p w14:paraId="0C6E6A94" w14:textId="77777777" w:rsidR="00B11734" w:rsidRDefault="00643871">
      <w:pPr>
        <w:pBdr>
          <w:top w:val="nil"/>
          <w:left w:val="nil"/>
          <w:bottom w:val="nil"/>
          <w:right w:val="nil"/>
          <w:between w:val="nil"/>
        </w:pBdr>
        <w:spacing w:after="0" w:line="240" w:lineRule="auto"/>
        <w:ind w:firstLine="720"/>
        <w:rPr>
          <w:color w:val="000000"/>
        </w:rPr>
      </w:pPr>
      <w:r>
        <w:rPr>
          <w:color w:val="000000"/>
        </w:rPr>
        <w:t>Total Salary:</w:t>
      </w:r>
    </w:p>
    <w:p w14:paraId="02FB705C" w14:textId="77777777" w:rsidR="00B11734" w:rsidRDefault="00B11734">
      <w:pPr>
        <w:pBdr>
          <w:top w:val="nil"/>
          <w:left w:val="nil"/>
          <w:bottom w:val="nil"/>
          <w:right w:val="nil"/>
          <w:between w:val="nil"/>
        </w:pBdr>
        <w:spacing w:after="0" w:line="240" w:lineRule="auto"/>
        <w:ind w:firstLine="720"/>
        <w:rPr>
          <w:color w:val="000000"/>
        </w:rPr>
      </w:pPr>
    </w:p>
    <w:p w14:paraId="03121C91" w14:textId="77777777" w:rsidR="00B11734" w:rsidRDefault="00643871">
      <w:pPr>
        <w:pBdr>
          <w:top w:val="nil"/>
          <w:left w:val="nil"/>
          <w:bottom w:val="nil"/>
          <w:right w:val="nil"/>
          <w:between w:val="nil"/>
        </w:pBdr>
        <w:spacing w:after="0" w:line="240" w:lineRule="auto"/>
        <w:ind w:left="720"/>
        <w:rPr>
          <w:b/>
          <w:i/>
          <w:color w:val="000000"/>
        </w:rPr>
      </w:pPr>
      <w:r>
        <w:rPr>
          <w:b/>
          <w:i/>
          <w:color w:val="000000"/>
        </w:rPr>
        <w:t>&lt;&lt;If known at time of issuance, insert term-by-term breakdown of assignments and include “no appointment” for non-instructional terms. If not known at the time of issuance, this information must be provided through a supplemental notice to be issued as soon as possible, and no later than 30 days prior to the commencement of the term of service.&gt;&gt;</w:t>
      </w:r>
    </w:p>
    <w:p w14:paraId="68DEA16B" w14:textId="77777777" w:rsidR="00B11734" w:rsidRDefault="00B11734">
      <w:pPr>
        <w:pBdr>
          <w:top w:val="nil"/>
          <w:left w:val="nil"/>
          <w:bottom w:val="nil"/>
          <w:right w:val="nil"/>
          <w:between w:val="nil"/>
        </w:pBdr>
        <w:spacing w:after="0" w:line="240" w:lineRule="auto"/>
        <w:ind w:firstLine="720"/>
        <w:rPr>
          <w:color w:val="000000"/>
        </w:rPr>
      </w:pPr>
    </w:p>
    <w:p w14:paraId="3FE3864B" w14:textId="77777777" w:rsidR="00B11734" w:rsidRDefault="00643871">
      <w:pPr>
        <w:rPr>
          <w:b/>
          <w:i/>
          <w:u w:val="single"/>
        </w:rPr>
      </w:pPr>
      <w:r>
        <w:rPr>
          <w:b/>
          <w:i/>
          <w:u w:val="single"/>
        </w:rPr>
        <w:t>If it’s a 2- or 3-year appointment, please provide the same information for subsequent academic years</w:t>
      </w:r>
    </w:p>
    <w:p w14:paraId="16A3CA2F" w14:textId="77777777" w:rsidR="00B11734" w:rsidRDefault="00643871">
      <w:r>
        <w:t xml:space="preserve">Academic Year </w:t>
      </w:r>
      <w:r>
        <w:rPr>
          <w:b/>
          <w:i/>
        </w:rPr>
        <w:t>&lt;&lt;insert AY&gt;&gt;</w:t>
      </w:r>
      <w:r>
        <w:rPr>
          <w:i/>
        </w:rPr>
        <w:t xml:space="preserve"> </w:t>
      </w:r>
    </w:p>
    <w:p w14:paraId="249025DF" w14:textId="77777777" w:rsidR="00B11734" w:rsidRDefault="00643871">
      <w:pPr>
        <w:pBdr>
          <w:top w:val="nil"/>
          <w:left w:val="nil"/>
          <w:bottom w:val="nil"/>
          <w:right w:val="nil"/>
          <w:between w:val="nil"/>
        </w:pBdr>
        <w:spacing w:after="0" w:line="240" w:lineRule="auto"/>
        <w:ind w:firstLine="720"/>
        <w:rPr>
          <w:color w:val="000000"/>
        </w:rPr>
      </w:pPr>
      <w:r>
        <w:rPr>
          <w:color w:val="000000"/>
        </w:rPr>
        <w:t xml:space="preserve">Pay Period Dates: </w:t>
      </w:r>
    </w:p>
    <w:p w14:paraId="4909A9B6" w14:textId="77777777" w:rsidR="00B11734" w:rsidRDefault="00643871">
      <w:pPr>
        <w:pBdr>
          <w:top w:val="nil"/>
          <w:left w:val="nil"/>
          <w:bottom w:val="nil"/>
          <w:right w:val="nil"/>
          <w:between w:val="nil"/>
        </w:pBdr>
        <w:spacing w:after="0" w:line="240" w:lineRule="auto"/>
        <w:ind w:firstLine="720"/>
        <w:rPr>
          <w:color w:val="000000"/>
        </w:rPr>
      </w:pPr>
      <w:r>
        <w:rPr>
          <w:color w:val="000000"/>
        </w:rPr>
        <w:t xml:space="preserve">Service Period Dates: </w:t>
      </w:r>
    </w:p>
    <w:p w14:paraId="12C092D2" w14:textId="77777777" w:rsidR="00B11734" w:rsidRDefault="00643871">
      <w:pPr>
        <w:pBdr>
          <w:top w:val="nil"/>
          <w:left w:val="nil"/>
          <w:bottom w:val="nil"/>
          <w:right w:val="nil"/>
          <w:between w:val="nil"/>
        </w:pBdr>
        <w:spacing w:after="0" w:line="240" w:lineRule="auto"/>
        <w:ind w:firstLine="720"/>
        <w:rPr>
          <w:color w:val="000000"/>
        </w:rPr>
      </w:pPr>
      <w:r>
        <w:rPr>
          <w:color w:val="000000"/>
        </w:rPr>
        <w:t>Percent of Time for the academic or fiscal year:</w:t>
      </w:r>
    </w:p>
    <w:p w14:paraId="00CD44C1" w14:textId="77777777" w:rsidR="00B11734" w:rsidRDefault="00643871">
      <w:pPr>
        <w:pBdr>
          <w:top w:val="nil"/>
          <w:left w:val="nil"/>
          <w:bottom w:val="nil"/>
          <w:right w:val="nil"/>
          <w:between w:val="nil"/>
        </w:pBdr>
        <w:spacing w:after="0" w:line="240" w:lineRule="auto"/>
        <w:ind w:firstLine="720"/>
        <w:rPr>
          <w:color w:val="2E75B5"/>
        </w:rPr>
      </w:pPr>
      <w:r>
        <w:rPr>
          <w:color w:val="2E75B5"/>
        </w:rPr>
        <w:t>For Variable percentages:</w:t>
      </w:r>
    </w:p>
    <w:p w14:paraId="5DD35802" w14:textId="77777777" w:rsidR="00B11734" w:rsidRDefault="00643871">
      <w:pPr>
        <w:pBdr>
          <w:top w:val="nil"/>
          <w:left w:val="nil"/>
          <w:bottom w:val="nil"/>
          <w:right w:val="nil"/>
          <w:between w:val="nil"/>
        </w:pBdr>
        <w:spacing w:after="0" w:line="240" w:lineRule="auto"/>
        <w:ind w:firstLine="720"/>
        <w:rPr>
          <w:color w:val="2E75B5"/>
        </w:rPr>
      </w:pPr>
      <w:r>
        <w:rPr>
          <w:color w:val="2E75B5"/>
        </w:rPr>
        <w:t>Percent of Time for fall semester:</w:t>
      </w:r>
    </w:p>
    <w:p w14:paraId="0FE431E7" w14:textId="77777777" w:rsidR="00B11734" w:rsidRDefault="00643871">
      <w:pPr>
        <w:pBdr>
          <w:top w:val="nil"/>
          <w:left w:val="nil"/>
          <w:bottom w:val="nil"/>
          <w:right w:val="nil"/>
          <w:between w:val="nil"/>
        </w:pBdr>
        <w:spacing w:after="0" w:line="240" w:lineRule="auto"/>
        <w:ind w:firstLine="720"/>
        <w:rPr>
          <w:color w:val="2E75B5"/>
        </w:rPr>
      </w:pPr>
      <w:r>
        <w:rPr>
          <w:color w:val="2E75B5"/>
        </w:rPr>
        <w:t>Percent of Time for Spring semester:</w:t>
      </w:r>
    </w:p>
    <w:p w14:paraId="405B1C72" w14:textId="77777777" w:rsidR="00B11734" w:rsidRDefault="00643871">
      <w:pPr>
        <w:pBdr>
          <w:top w:val="nil"/>
          <w:left w:val="nil"/>
          <w:bottom w:val="nil"/>
          <w:right w:val="nil"/>
          <w:between w:val="nil"/>
        </w:pBdr>
        <w:spacing w:after="0" w:line="240" w:lineRule="auto"/>
        <w:ind w:firstLine="720"/>
        <w:rPr>
          <w:color w:val="2E75B5"/>
        </w:rPr>
      </w:pPr>
      <w:r>
        <w:rPr>
          <w:color w:val="2E75B5"/>
        </w:rPr>
        <w:t>Average Percent for AY:</w:t>
      </w:r>
    </w:p>
    <w:p w14:paraId="025F1DBB" w14:textId="77777777" w:rsidR="00B11734" w:rsidRDefault="00643871">
      <w:pPr>
        <w:pBdr>
          <w:top w:val="nil"/>
          <w:left w:val="nil"/>
          <w:bottom w:val="nil"/>
          <w:right w:val="nil"/>
          <w:between w:val="nil"/>
        </w:pBdr>
        <w:spacing w:after="0" w:line="240" w:lineRule="auto"/>
        <w:ind w:firstLine="720"/>
        <w:rPr>
          <w:color w:val="000000"/>
        </w:rPr>
      </w:pPr>
      <w:r>
        <w:rPr>
          <w:color w:val="000000"/>
        </w:rPr>
        <w:t>Annual Salary Rate:</w:t>
      </w:r>
    </w:p>
    <w:p w14:paraId="16043A05" w14:textId="77777777" w:rsidR="00B11734" w:rsidRDefault="00643871">
      <w:pPr>
        <w:pBdr>
          <w:top w:val="nil"/>
          <w:left w:val="nil"/>
          <w:bottom w:val="nil"/>
          <w:right w:val="nil"/>
          <w:between w:val="nil"/>
        </w:pBdr>
        <w:spacing w:after="0" w:line="240" w:lineRule="auto"/>
        <w:ind w:firstLine="720"/>
        <w:rPr>
          <w:color w:val="000000"/>
        </w:rPr>
      </w:pPr>
      <w:r>
        <w:rPr>
          <w:color w:val="000000"/>
        </w:rPr>
        <w:t>Total Salary:</w:t>
      </w:r>
    </w:p>
    <w:p w14:paraId="3B32964E" w14:textId="77777777" w:rsidR="00B11734" w:rsidRDefault="00B11734">
      <w:pPr>
        <w:pBdr>
          <w:top w:val="nil"/>
          <w:left w:val="nil"/>
          <w:bottom w:val="nil"/>
          <w:right w:val="nil"/>
          <w:between w:val="nil"/>
        </w:pBdr>
        <w:spacing w:after="0" w:line="240" w:lineRule="auto"/>
        <w:ind w:firstLine="720"/>
        <w:rPr>
          <w:color w:val="000000"/>
        </w:rPr>
      </w:pPr>
    </w:p>
    <w:p w14:paraId="1EBCF991" w14:textId="77777777" w:rsidR="00B11734" w:rsidRDefault="00643871">
      <w:pPr>
        <w:pBdr>
          <w:top w:val="nil"/>
          <w:left w:val="nil"/>
          <w:bottom w:val="nil"/>
          <w:right w:val="nil"/>
          <w:between w:val="nil"/>
        </w:pBdr>
        <w:spacing w:after="0" w:line="240" w:lineRule="auto"/>
        <w:ind w:left="720"/>
        <w:rPr>
          <w:b/>
          <w:i/>
          <w:color w:val="000000"/>
        </w:rPr>
      </w:pPr>
      <w:r>
        <w:rPr>
          <w:b/>
          <w:i/>
          <w:color w:val="000000"/>
        </w:rPr>
        <w:t>&lt;&lt; If known at time of issuance, insert term-by-term breakdown of assignments and include “no appointment” for non-instructional terms. If not known at the time of issuance, this information must be provided through a supplemental notice to be issued as soon as possible, and no later than 30 days prior to the commencement of the term of service.&gt;&gt;</w:t>
      </w:r>
    </w:p>
    <w:p w14:paraId="52BEF13D" w14:textId="77777777" w:rsidR="00B11734" w:rsidRDefault="00B11734"/>
    <w:p w14:paraId="02398888" w14:textId="77777777" w:rsidR="00B11734" w:rsidRDefault="00643871">
      <w:r>
        <w:t xml:space="preserve">Academic Year </w:t>
      </w:r>
      <w:r>
        <w:rPr>
          <w:b/>
          <w:i/>
        </w:rPr>
        <w:t>&lt;&lt;insert AY&gt;&gt;</w:t>
      </w:r>
    </w:p>
    <w:p w14:paraId="743774F0" w14:textId="77777777" w:rsidR="00B11734" w:rsidRDefault="00643871">
      <w:pPr>
        <w:pBdr>
          <w:top w:val="nil"/>
          <w:left w:val="nil"/>
          <w:bottom w:val="nil"/>
          <w:right w:val="nil"/>
          <w:between w:val="nil"/>
        </w:pBdr>
        <w:spacing w:after="0" w:line="240" w:lineRule="auto"/>
        <w:ind w:firstLine="720"/>
        <w:rPr>
          <w:color w:val="000000"/>
        </w:rPr>
      </w:pPr>
      <w:r>
        <w:rPr>
          <w:color w:val="000000"/>
        </w:rPr>
        <w:t xml:space="preserve">Pay Period Dates: </w:t>
      </w:r>
    </w:p>
    <w:p w14:paraId="0E8E097D" w14:textId="77777777" w:rsidR="00B11734" w:rsidRDefault="00643871">
      <w:pPr>
        <w:pBdr>
          <w:top w:val="nil"/>
          <w:left w:val="nil"/>
          <w:bottom w:val="nil"/>
          <w:right w:val="nil"/>
          <w:between w:val="nil"/>
        </w:pBdr>
        <w:spacing w:after="0" w:line="240" w:lineRule="auto"/>
        <w:ind w:firstLine="720"/>
        <w:rPr>
          <w:color w:val="000000"/>
        </w:rPr>
      </w:pPr>
      <w:r>
        <w:rPr>
          <w:color w:val="000000"/>
        </w:rPr>
        <w:t xml:space="preserve">Service Period Dates: </w:t>
      </w:r>
    </w:p>
    <w:p w14:paraId="7A0EB2FC" w14:textId="77777777" w:rsidR="00B11734" w:rsidRDefault="00643871">
      <w:pPr>
        <w:pBdr>
          <w:top w:val="nil"/>
          <w:left w:val="nil"/>
          <w:bottom w:val="nil"/>
          <w:right w:val="nil"/>
          <w:between w:val="nil"/>
        </w:pBdr>
        <w:spacing w:after="0" w:line="240" w:lineRule="auto"/>
        <w:ind w:firstLine="720"/>
        <w:rPr>
          <w:color w:val="000000"/>
        </w:rPr>
      </w:pPr>
      <w:r>
        <w:rPr>
          <w:color w:val="000000"/>
        </w:rPr>
        <w:t>Percent of Time for the academic or fiscal year:</w:t>
      </w:r>
    </w:p>
    <w:p w14:paraId="20F55EB1" w14:textId="77777777" w:rsidR="00B11734" w:rsidRDefault="00643871">
      <w:pPr>
        <w:pBdr>
          <w:top w:val="nil"/>
          <w:left w:val="nil"/>
          <w:bottom w:val="nil"/>
          <w:right w:val="nil"/>
          <w:between w:val="nil"/>
        </w:pBdr>
        <w:spacing w:after="0" w:line="240" w:lineRule="auto"/>
        <w:ind w:firstLine="720"/>
        <w:rPr>
          <w:color w:val="2E75B5"/>
        </w:rPr>
      </w:pPr>
      <w:r>
        <w:rPr>
          <w:color w:val="2E75B5"/>
        </w:rPr>
        <w:t>For Variable percentages:</w:t>
      </w:r>
    </w:p>
    <w:p w14:paraId="003E6A92" w14:textId="77777777" w:rsidR="00B11734" w:rsidRDefault="00643871">
      <w:pPr>
        <w:pBdr>
          <w:top w:val="nil"/>
          <w:left w:val="nil"/>
          <w:bottom w:val="nil"/>
          <w:right w:val="nil"/>
          <w:between w:val="nil"/>
        </w:pBdr>
        <w:spacing w:after="0" w:line="240" w:lineRule="auto"/>
        <w:ind w:firstLine="720"/>
        <w:rPr>
          <w:color w:val="2E75B5"/>
        </w:rPr>
      </w:pPr>
      <w:r>
        <w:rPr>
          <w:color w:val="2E75B5"/>
        </w:rPr>
        <w:t>Percent of Time for fall semester:</w:t>
      </w:r>
    </w:p>
    <w:p w14:paraId="758B1457" w14:textId="77777777" w:rsidR="00B11734" w:rsidRDefault="00643871">
      <w:pPr>
        <w:pBdr>
          <w:top w:val="nil"/>
          <w:left w:val="nil"/>
          <w:bottom w:val="nil"/>
          <w:right w:val="nil"/>
          <w:between w:val="nil"/>
        </w:pBdr>
        <w:spacing w:after="0" w:line="240" w:lineRule="auto"/>
        <w:ind w:firstLine="720"/>
        <w:rPr>
          <w:color w:val="2E75B5"/>
        </w:rPr>
      </w:pPr>
      <w:r>
        <w:rPr>
          <w:color w:val="2E75B5"/>
        </w:rPr>
        <w:t>Percent of Time for Spring semester:</w:t>
      </w:r>
    </w:p>
    <w:p w14:paraId="73983B60" w14:textId="77777777" w:rsidR="00B11734" w:rsidRDefault="00643871">
      <w:pPr>
        <w:pBdr>
          <w:top w:val="nil"/>
          <w:left w:val="nil"/>
          <w:bottom w:val="nil"/>
          <w:right w:val="nil"/>
          <w:between w:val="nil"/>
        </w:pBdr>
        <w:spacing w:after="0" w:line="240" w:lineRule="auto"/>
        <w:ind w:firstLine="720"/>
        <w:rPr>
          <w:color w:val="2E75B5"/>
        </w:rPr>
      </w:pPr>
      <w:r>
        <w:rPr>
          <w:color w:val="2E75B5"/>
        </w:rPr>
        <w:t>Average Percent for AY:</w:t>
      </w:r>
    </w:p>
    <w:p w14:paraId="322ABE26" w14:textId="77777777" w:rsidR="00B11734" w:rsidRDefault="00B11734">
      <w:pPr>
        <w:pBdr>
          <w:top w:val="nil"/>
          <w:left w:val="nil"/>
          <w:bottom w:val="nil"/>
          <w:right w:val="nil"/>
          <w:between w:val="nil"/>
        </w:pBdr>
        <w:spacing w:after="0" w:line="240" w:lineRule="auto"/>
        <w:ind w:firstLine="720"/>
        <w:rPr>
          <w:color w:val="000000"/>
        </w:rPr>
      </w:pPr>
    </w:p>
    <w:p w14:paraId="2CCD7D6A" w14:textId="77777777" w:rsidR="00B11734" w:rsidRDefault="00643871">
      <w:pPr>
        <w:pBdr>
          <w:top w:val="nil"/>
          <w:left w:val="nil"/>
          <w:bottom w:val="nil"/>
          <w:right w:val="nil"/>
          <w:between w:val="nil"/>
        </w:pBdr>
        <w:spacing w:after="0" w:line="240" w:lineRule="auto"/>
        <w:ind w:firstLine="720"/>
        <w:rPr>
          <w:color w:val="000000"/>
        </w:rPr>
      </w:pPr>
      <w:r>
        <w:rPr>
          <w:color w:val="000000"/>
        </w:rPr>
        <w:t>Annual Salary Rate:</w:t>
      </w:r>
    </w:p>
    <w:p w14:paraId="62511B88" w14:textId="77777777" w:rsidR="00B11734" w:rsidRDefault="00643871">
      <w:pPr>
        <w:pBdr>
          <w:top w:val="nil"/>
          <w:left w:val="nil"/>
          <w:bottom w:val="nil"/>
          <w:right w:val="nil"/>
          <w:between w:val="nil"/>
        </w:pBdr>
        <w:spacing w:after="0" w:line="240" w:lineRule="auto"/>
        <w:ind w:firstLine="720"/>
        <w:rPr>
          <w:color w:val="000000"/>
        </w:rPr>
      </w:pPr>
      <w:r>
        <w:rPr>
          <w:color w:val="000000"/>
        </w:rPr>
        <w:t>Total Salary:</w:t>
      </w:r>
    </w:p>
    <w:p w14:paraId="5C9A09F2" w14:textId="77777777" w:rsidR="00B11734" w:rsidRDefault="00B11734">
      <w:pPr>
        <w:pBdr>
          <w:top w:val="nil"/>
          <w:left w:val="nil"/>
          <w:bottom w:val="nil"/>
          <w:right w:val="nil"/>
          <w:between w:val="nil"/>
        </w:pBdr>
        <w:spacing w:after="0" w:line="240" w:lineRule="auto"/>
        <w:ind w:firstLine="720"/>
        <w:rPr>
          <w:color w:val="000000"/>
        </w:rPr>
      </w:pPr>
    </w:p>
    <w:p w14:paraId="1C7C6514" w14:textId="77777777" w:rsidR="00B11734" w:rsidRDefault="00643871">
      <w:pPr>
        <w:pBdr>
          <w:top w:val="nil"/>
          <w:left w:val="nil"/>
          <w:bottom w:val="nil"/>
          <w:right w:val="nil"/>
          <w:between w:val="nil"/>
        </w:pBdr>
        <w:spacing w:after="0" w:line="240" w:lineRule="auto"/>
        <w:ind w:left="720"/>
        <w:rPr>
          <w:b/>
          <w:i/>
          <w:color w:val="000000"/>
        </w:rPr>
      </w:pPr>
      <w:r>
        <w:rPr>
          <w:b/>
          <w:i/>
          <w:color w:val="000000"/>
        </w:rPr>
        <w:t>&lt;&lt; If known at time of issuance, insert term-by-term breakdown of assignments and include “no appointment” for non-instructional terms. If not known at the time of issuance, this information must be provided through a supplemental notice to be issued as soon as possible, and no later than 30 days prior to the commencement of the term of service.&gt;&gt;</w:t>
      </w:r>
    </w:p>
    <w:p w14:paraId="6B3E73C6" w14:textId="77777777" w:rsidR="00B11734" w:rsidRDefault="00B11734"/>
    <w:p w14:paraId="55EC6605" w14:textId="77777777" w:rsidR="00B11734" w:rsidRDefault="00643871">
      <w:pPr>
        <w:pBdr>
          <w:top w:val="nil"/>
          <w:left w:val="nil"/>
          <w:bottom w:val="nil"/>
          <w:right w:val="nil"/>
          <w:between w:val="nil"/>
        </w:pBdr>
        <w:spacing w:after="0" w:line="240" w:lineRule="auto"/>
        <w:rPr>
          <w:b/>
          <w:i/>
          <w:color w:val="000000"/>
        </w:rPr>
      </w:pPr>
      <w:r>
        <w:rPr>
          <w:b/>
          <w:i/>
          <w:color w:val="000000"/>
        </w:rPr>
        <w:lastRenderedPageBreak/>
        <w:t xml:space="preserve">&lt;&lt;if applicable, insert the following statement: In subsequent years, the salary rate will be adjusted in accordance with the applicable provisions of the Agreement.&gt;&gt; </w:t>
      </w:r>
    </w:p>
    <w:p w14:paraId="6912A7A7" w14:textId="77777777" w:rsidR="00B11734" w:rsidRDefault="00B11734">
      <w:pPr>
        <w:pBdr>
          <w:top w:val="nil"/>
          <w:left w:val="nil"/>
          <w:bottom w:val="nil"/>
          <w:right w:val="nil"/>
          <w:between w:val="nil"/>
        </w:pBdr>
        <w:spacing w:after="0" w:line="240" w:lineRule="auto"/>
        <w:rPr>
          <w:color w:val="000000"/>
        </w:rPr>
      </w:pPr>
    </w:p>
    <w:p w14:paraId="0BB6A9B5" w14:textId="77777777" w:rsidR="00B11734" w:rsidRDefault="00643871">
      <w:pPr>
        <w:pBdr>
          <w:top w:val="nil"/>
          <w:left w:val="nil"/>
          <w:bottom w:val="nil"/>
          <w:right w:val="nil"/>
          <w:between w:val="nil"/>
        </w:pBdr>
        <w:spacing w:after="0" w:line="240" w:lineRule="auto"/>
        <w:rPr>
          <w:color w:val="000000"/>
        </w:rPr>
      </w:pPr>
      <w:r>
        <w:rPr>
          <w:color w:val="000000"/>
        </w:rPr>
        <w:t xml:space="preserve">You can find the payroll calendar here: </w:t>
      </w:r>
      <w:r>
        <w:rPr>
          <w:b/>
          <w:color w:val="000000"/>
        </w:rPr>
        <w:t>&lt;&lt;insert link&gt;&gt;.</w:t>
      </w:r>
    </w:p>
    <w:p w14:paraId="799937C7" w14:textId="77777777" w:rsidR="00B11734" w:rsidRDefault="00B11734">
      <w:pPr>
        <w:pBdr>
          <w:top w:val="nil"/>
          <w:left w:val="nil"/>
          <w:bottom w:val="nil"/>
          <w:right w:val="nil"/>
          <w:between w:val="nil"/>
        </w:pBdr>
        <w:spacing w:after="0" w:line="240" w:lineRule="auto"/>
        <w:rPr>
          <w:color w:val="000000"/>
        </w:rPr>
      </w:pPr>
    </w:p>
    <w:p w14:paraId="05FDC1E3" w14:textId="1F0775B8" w:rsidR="00B11734" w:rsidRDefault="007949FD">
      <w:hyperlink r:id="rId8" w:history="1">
        <w:r w:rsidRPr="007949FD">
          <w:rPr>
            <w:rStyle w:val="Hyperlink"/>
          </w:rPr>
          <w:t>Click here to view the UC-AFT’s Welcome Letter</w:t>
        </w:r>
      </w:hyperlink>
      <w:r w:rsidR="00643871">
        <w:t xml:space="preserve">. To learn more about the UC-AFT, visit ucaft.org. </w:t>
      </w:r>
    </w:p>
    <w:p w14:paraId="7303C6DA" w14:textId="77777777" w:rsidR="00B11734" w:rsidRDefault="00643871">
      <w:r>
        <w:t>Each academic term, a new employee orientation for newly appointed Unit 18 faculty at the Berkeley Campus</w:t>
      </w:r>
      <w:r>
        <w:rPr>
          <w:i/>
        </w:rPr>
        <w:t xml:space="preserve"> </w:t>
      </w:r>
      <w:r>
        <w:t xml:space="preserve">will be held.  Attendance at the Unit 18 new employee orientation is mandatory in your first term of employment.  The University will schedule an orientation in fall term and you will receive information separately about the date, time, and location of the scheduled orientation.  For academic terms other than fall, the UC-AFT will coordinate and provide the Unit 18 new employee orientation.  When these orientations are scheduled, the University will notify you of the date, time, and location of the scheduled orientation.  </w:t>
      </w:r>
    </w:p>
    <w:p w14:paraId="72F08B88" w14:textId="77777777" w:rsidR="00B11734" w:rsidRDefault="00643871">
      <w:pPr>
        <w:pBdr>
          <w:top w:val="nil"/>
          <w:left w:val="nil"/>
          <w:bottom w:val="nil"/>
          <w:right w:val="nil"/>
          <w:between w:val="nil"/>
        </w:pBdr>
        <w:spacing w:after="0" w:line="240" w:lineRule="auto"/>
        <w:rPr>
          <w:i/>
          <w:color w:val="000000"/>
        </w:rPr>
      </w:pPr>
      <w:r>
        <w:rPr>
          <w:color w:val="000000"/>
        </w:rPr>
        <w:t xml:space="preserve">To be considered for reappointment in the academic year following the end date of this appointment, please submit a statement of interest to your department chair by </w:t>
      </w:r>
      <w:r>
        <w:rPr>
          <w:b/>
          <w:i/>
          <w:color w:val="000000"/>
        </w:rPr>
        <w:t>&lt;&lt;insert date from Article 7a. Section J.1. Consideration for Reappointment&gt;&gt;</w:t>
      </w:r>
      <w:r>
        <w:rPr>
          <w:color w:val="000000"/>
        </w:rPr>
        <w:t xml:space="preserve">. The statement of interest form can be found under FORMS at </w:t>
      </w:r>
      <w:hyperlink r:id="rId9">
        <w:r>
          <w:rPr>
            <w:i/>
            <w:color w:val="0563C1"/>
            <w:u w:val="single"/>
          </w:rPr>
          <w:t>https://apo.berkeley.edu/unit-18-lecturer-and-senior-lecturer</w:t>
        </w:r>
      </w:hyperlink>
      <w:r>
        <w:rPr>
          <w:i/>
          <w:color w:val="000000"/>
        </w:rPr>
        <w:t>.</w:t>
      </w:r>
    </w:p>
    <w:p w14:paraId="1125E7CE" w14:textId="77777777" w:rsidR="00B11734" w:rsidRDefault="00B11734">
      <w:pPr>
        <w:pBdr>
          <w:top w:val="nil"/>
          <w:left w:val="nil"/>
          <w:bottom w:val="nil"/>
          <w:right w:val="nil"/>
          <w:between w:val="nil"/>
        </w:pBdr>
        <w:spacing w:after="0" w:line="240" w:lineRule="auto"/>
        <w:rPr>
          <w:color w:val="000000"/>
        </w:rPr>
      </w:pPr>
    </w:p>
    <w:p w14:paraId="763A8600" w14:textId="77777777" w:rsidR="00B11734" w:rsidRDefault="00643871">
      <w:pPr>
        <w:spacing w:after="200"/>
      </w:pPr>
      <w:r>
        <w:t>This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  This Act prohibits public officials from participating in governmental decisions when personal financial interests may be affected by those decisions.  The Act requires that all government employees and officials disqualify themselves from participating in a governmental decision when a financial conflict of interest is present.</w:t>
      </w:r>
    </w:p>
    <w:p w14:paraId="3E33A8BC" w14:textId="77777777" w:rsidR="00B11734" w:rsidRDefault="00643871">
      <w:r>
        <w:rPr>
          <w:highlight w:val="yellow"/>
        </w:rPr>
        <w:t>This offer is contingent upon you clearing an Employment Misconduct Disclosure review where you will be required to disclose any final administrative or judicial decisions within the last seven years determining that you committed any misconduct and provide information related to investigations and appeals.</w:t>
      </w:r>
    </w:p>
    <w:p w14:paraId="5EDCFC27" w14:textId="77777777" w:rsidR="00B11734" w:rsidRDefault="00643871">
      <w:pPr>
        <w:rPr>
          <w:color w:val="222222"/>
          <w:highlight w:val="white"/>
        </w:rPr>
      </w:pPr>
      <w:r>
        <w:rPr>
          <w:color w:val="222222"/>
          <w:highlight w:val="white"/>
        </w:rPr>
        <w:t>As a University employee, you will be required to comply with all applicable University policies and/or collective bargaining agreements, as may be amended from time to time. Federal, state, or local government directives may impose additional requirements.</w:t>
      </w:r>
    </w:p>
    <w:p w14:paraId="5EC2456C" w14:textId="77777777" w:rsidR="00B11734" w:rsidRDefault="00643871">
      <w:r>
        <w:t xml:space="preserve">The University may substitute the course(s) and/or other assigned duties and general responsibilities in the same department, program, or unit during the same term. Such substitution will not result in a change in earnings, workload, or appointment percentage. In the event of a substitution, the program, department, or unit shall provide course information through a supplemental notice. Such supplemental notices shall be issued as soon as practicable. </w:t>
      </w:r>
    </w:p>
    <w:p w14:paraId="5DEE3798" w14:textId="77777777" w:rsidR="00B11734" w:rsidRDefault="00643871">
      <w:r>
        <w:t xml:space="preserve">In accordance with University policy, your eligibility to participate in University of California benefits programs is dependent on the percentage and/or duration of your appointment. If you have a concurrent appointment in another department, the total percentage and/or duration of your appointment determines your eligibility. Please refer to the UC Benefits website: </w:t>
      </w:r>
      <w:hyperlink r:id="rId10">
        <w:r>
          <w:rPr>
            <w:color w:val="0563C1"/>
            <w:u w:val="single"/>
          </w:rPr>
          <w:t>https://ucnet.universityofcalifornia.edu/compensation-and-benefits/index.html</w:t>
        </w:r>
      </w:hyperlink>
      <w:r>
        <w:t xml:space="preserve">. </w:t>
      </w:r>
    </w:p>
    <w:p w14:paraId="16D7A99F" w14:textId="77777777" w:rsidR="00B11734" w:rsidRDefault="00643871">
      <w:r>
        <w:lastRenderedPageBreak/>
        <w:t xml:space="preserve">Your position is covered by a bargaining unit represented by a union, the UC-AFT. As such, the terms and conditions of your appointment are contained in UC/UC-AFT collective bargaining agreement, which you may access at </w:t>
      </w:r>
      <w:hyperlink r:id="rId11">
        <w:r>
          <w:rPr>
            <w:color w:val="0563C1"/>
            <w:u w:val="single"/>
          </w:rPr>
          <w:t>https://ucnet.universityofcalifornia.edu/labor/bargaining-units/ix/index.html</w:t>
        </w:r>
      </w:hyperlink>
      <w:r>
        <w:t xml:space="preserve">. </w:t>
      </w:r>
    </w:p>
    <w:p w14:paraId="6A9305B6" w14:textId="77777777" w:rsidR="00B11734" w:rsidRDefault="00643871">
      <w:r>
        <w:t>The University shall have no obligation to automatically reappoint Unit 18 faculty following the expiration of an appointment.</w:t>
      </w:r>
    </w:p>
    <w:p w14:paraId="254F05DD" w14:textId="77777777" w:rsidR="00B11734" w:rsidRDefault="00643871">
      <w:r>
        <w:t>Your supervisor,</w:t>
      </w:r>
      <w:r>
        <w:rPr>
          <w:b/>
          <w:i/>
        </w:rPr>
        <w:t xml:space="preserve"> &lt;&lt;insert the name of the department chair, program, unit head, or other person to whom the Unit 18 faculty member reports to&gt;&gt;</w:t>
      </w:r>
      <w:r>
        <w:t xml:space="preserve">, joins me in extending this appointment to you. Your signature on the </w:t>
      </w:r>
      <w:r>
        <w:rPr>
          <w:b/>
          <w:i/>
        </w:rPr>
        <w:t>&lt;&lt;insert appointment/contract form or agreement, offer letter&gt;&gt;</w:t>
      </w:r>
      <w:r>
        <w:t xml:space="preserve"> will indicate your acceptance of this appointment and the appointment terms. Please return your signed letter to this email address.</w:t>
      </w:r>
    </w:p>
    <w:p w14:paraId="63A0B498" w14:textId="77777777" w:rsidR="00B11734" w:rsidRDefault="00643871">
      <w:r>
        <w:t>Sincerely,</w:t>
      </w:r>
    </w:p>
    <w:p w14:paraId="273D05BC" w14:textId="77777777" w:rsidR="00B11734" w:rsidRDefault="00B11734"/>
    <w:p w14:paraId="6B11C0F4" w14:textId="77777777" w:rsidR="00B11734" w:rsidRDefault="00643871">
      <w:pPr>
        <w:spacing w:after="0"/>
      </w:pPr>
      <w:r>
        <w:t>Dean ________</w:t>
      </w:r>
    </w:p>
    <w:p w14:paraId="232451AB" w14:textId="77777777" w:rsidR="00B11734" w:rsidRDefault="00643871">
      <w:r>
        <w:t xml:space="preserve">School/College </w:t>
      </w:r>
    </w:p>
    <w:p w14:paraId="435DDEDE" w14:textId="77777777" w:rsidR="00B11734" w:rsidRDefault="00B11734"/>
    <w:p w14:paraId="033BCB03" w14:textId="77777777" w:rsidR="00B11734" w:rsidRDefault="00643871">
      <w:r>
        <w:t xml:space="preserve">Accepted: </w:t>
      </w:r>
    </w:p>
    <w:p w14:paraId="27E7D5D5" w14:textId="77777777" w:rsidR="00B11734" w:rsidRDefault="00643871">
      <w:r>
        <w:rPr>
          <w:noProof/>
        </w:rPr>
        <mc:AlternateContent>
          <mc:Choice Requires="wps">
            <w:drawing>
              <wp:anchor distT="45720" distB="45720" distL="114300" distR="114300" simplePos="0" relativeHeight="251658240" behindDoc="0" locked="0" layoutInCell="1" hidden="0" allowOverlap="1" wp14:anchorId="1A69AD27" wp14:editId="178D810D">
                <wp:simplePos x="0" y="0"/>
                <wp:positionH relativeFrom="page">
                  <wp:posOffset>885825</wp:posOffset>
                </wp:positionH>
                <wp:positionV relativeFrom="page">
                  <wp:posOffset>5314950</wp:posOffset>
                </wp:positionV>
                <wp:extent cx="6200775" cy="779145"/>
                <wp:effectExtent l="0" t="0" r="28575" b="20955"/>
                <wp:wrapNone/>
                <wp:docPr id="218" name="Rectangle 218"/>
                <wp:cNvGraphicFramePr/>
                <a:graphic xmlns:a="http://schemas.openxmlformats.org/drawingml/2006/main">
                  <a:graphicData uri="http://schemas.microsoft.com/office/word/2010/wordprocessingShape">
                    <wps:wsp>
                      <wps:cNvSpPr/>
                      <wps:spPr>
                        <a:xfrm>
                          <a:off x="0" y="0"/>
                          <a:ext cx="6200775" cy="779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20C2F6" w14:textId="77777777" w:rsidR="00B11734" w:rsidRDefault="00B11734">
                            <w:pPr>
                              <w:spacing w:after="0" w:line="240" w:lineRule="auto"/>
                              <w:textDirection w:val="btLr"/>
                            </w:pPr>
                          </w:p>
                          <w:p w14:paraId="68E41C39" w14:textId="77777777" w:rsidR="00B11734" w:rsidRDefault="00643871">
                            <w:pPr>
                              <w:spacing w:after="0" w:line="240" w:lineRule="auto"/>
                              <w:textDirection w:val="btLr"/>
                            </w:pPr>
                            <w:r>
                              <w:rPr>
                                <w:rFonts w:ascii="Arial" w:eastAsia="Arial" w:hAnsi="Arial" w:cs="Arial"/>
                                <w:color w:val="000000"/>
                                <w:sz w:val="28"/>
                              </w:rPr>
                              <w:t>________________________________</w:t>
                            </w:r>
                            <w:r>
                              <w:rPr>
                                <w:rFonts w:ascii="Arial" w:eastAsia="Arial" w:hAnsi="Arial" w:cs="Arial"/>
                                <w:color w:val="000000"/>
                                <w:sz w:val="28"/>
                              </w:rPr>
                              <w:tab/>
                            </w:r>
                            <w:r>
                              <w:rPr>
                                <w:rFonts w:ascii="Arial" w:eastAsia="Arial" w:hAnsi="Arial" w:cs="Arial"/>
                                <w:color w:val="000000"/>
                                <w:sz w:val="28"/>
                              </w:rPr>
                              <w:tab/>
                              <w:t>____________________</w:t>
                            </w:r>
                          </w:p>
                          <w:p w14:paraId="121BB424" w14:textId="3A615872" w:rsidR="00B11734" w:rsidRPr="00643871" w:rsidRDefault="00643871">
                            <w:pPr>
                              <w:spacing w:after="0" w:line="240" w:lineRule="auto"/>
                              <w:textDirection w:val="btLr"/>
                              <w:rPr>
                                <w:rFonts w:asciiTheme="minorHAnsi" w:hAnsiTheme="minorHAnsi" w:cstheme="minorHAnsi"/>
                              </w:rPr>
                            </w:pPr>
                            <w:r w:rsidRPr="00643871">
                              <w:rPr>
                                <w:rFonts w:asciiTheme="minorHAnsi" w:eastAsia="Arial" w:hAnsiTheme="minorHAnsi" w:cstheme="minorHAnsi"/>
                                <w:color w:val="000000"/>
                              </w:rPr>
                              <w:t>Name</w:t>
                            </w:r>
                            <w:r w:rsidRPr="00643871">
                              <w:rPr>
                                <w:rFonts w:asciiTheme="minorHAnsi" w:eastAsia="Arial" w:hAnsiTheme="minorHAnsi" w:cstheme="minorHAnsi"/>
                                <w:color w:val="000000"/>
                              </w:rPr>
                              <w:tab/>
                            </w:r>
                            <w:r w:rsidRPr="00643871">
                              <w:rPr>
                                <w:rFonts w:asciiTheme="minorHAnsi" w:eastAsia="Arial" w:hAnsiTheme="minorHAnsi" w:cstheme="minorHAnsi"/>
                                <w:color w:val="000000"/>
                              </w:rPr>
                              <w:tab/>
                            </w:r>
                            <w:r w:rsidRPr="00643871">
                              <w:rPr>
                                <w:rFonts w:asciiTheme="minorHAnsi" w:eastAsia="Arial" w:hAnsiTheme="minorHAnsi" w:cstheme="minorHAnsi"/>
                                <w:color w:val="000000"/>
                              </w:rPr>
                              <w:tab/>
                            </w:r>
                            <w:r w:rsidRPr="00643871">
                              <w:rPr>
                                <w:rFonts w:asciiTheme="minorHAnsi" w:eastAsia="Arial" w:hAnsiTheme="minorHAnsi" w:cstheme="minorHAnsi"/>
                                <w:color w:val="000000"/>
                              </w:rPr>
                              <w:tab/>
                            </w:r>
                            <w:r w:rsidRPr="00643871">
                              <w:rPr>
                                <w:rFonts w:asciiTheme="minorHAnsi" w:eastAsia="Arial" w:hAnsiTheme="minorHAnsi" w:cstheme="minorHAnsi"/>
                                <w:color w:val="000000"/>
                              </w:rPr>
                              <w:tab/>
                            </w:r>
                            <w:r w:rsidRPr="00643871">
                              <w:rPr>
                                <w:rFonts w:asciiTheme="minorHAnsi" w:eastAsia="Arial" w:hAnsiTheme="minorHAnsi" w:cstheme="minorHAnsi"/>
                                <w:color w:val="000000"/>
                              </w:rPr>
                              <w:tab/>
                            </w:r>
                            <w:r w:rsidR="00763D37" w:rsidRPr="00643871">
                              <w:rPr>
                                <w:rFonts w:asciiTheme="minorHAnsi" w:eastAsia="Arial" w:hAnsiTheme="minorHAnsi" w:cstheme="minorHAnsi"/>
                                <w:color w:val="000000"/>
                              </w:rPr>
                              <w:t xml:space="preserve">                       </w:t>
                            </w:r>
                            <w:r>
                              <w:rPr>
                                <w:rFonts w:asciiTheme="minorHAnsi" w:eastAsia="Arial" w:hAnsiTheme="minorHAnsi" w:cstheme="minorHAnsi"/>
                                <w:color w:val="000000"/>
                              </w:rPr>
                              <w:t xml:space="preserve">      </w:t>
                            </w:r>
                            <w:r w:rsidRPr="00643871">
                              <w:rPr>
                                <w:rFonts w:asciiTheme="minorHAnsi" w:eastAsia="Arial" w:hAnsiTheme="minorHAnsi" w:cstheme="minorHAnsi"/>
                                <w:color w:val="000000"/>
                              </w:rPr>
                              <w:t>Date</w:t>
                            </w:r>
                          </w:p>
                          <w:p w14:paraId="4BDA7F1A" w14:textId="77777777" w:rsidR="00B11734" w:rsidRDefault="00B11734">
                            <w:pPr>
                              <w:spacing w:line="258" w:lineRule="auto"/>
                              <w:textDirection w:val="btLr"/>
                            </w:pPr>
                          </w:p>
                          <w:p w14:paraId="184AE0DD" w14:textId="77777777" w:rsidR="00B11734" w:rsidRDefault="00B1173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69AD27" id="Rectangle 218" o:spid="_x0000_s1026" style="position:absolute;margin-left:69.75pt;margin-top:418.5pt;width:488.25pt;height:61.3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">
                <v:stroke startarrowwidth="narrow" startarrowlength="short" endarrowwidth="narrow" endarrowlength="short"/>
                <v:textbox inset="2.53958mm,1.2694mm,2.53958mm,1.2694mm">
                  <w:txbxContent>
                    <w:p w14:paraId="2920C2F6" w14:textId="77777777" w:rsidR="00B11734" w:rsidRDefault="00B11734">
                      <w:pPr>
                        <w:spacing w:after="0" w:line="240" w:lineRule="auto"/>
                        <w:textDirection w:val="btLr"/>
                      </w:pPr>
                    </w:p>
                    <w:p w14:paraId="68E41C39" w14:textId="77777777" w:rsidR="00B11734" w:rsidRDefault="00643871">
                      <w:pPr>
                        <w:spacing w:after="0" w:line="240" w:lineRule="auto"/>
                        <w:textDirection w:val="btLr"/>
                      </w:pPr>
                      <w:r>
                        <w:rPr>
                          <w:rFonts w:ascii="Arial" w:eastAsia="Arial" w:hAnsi="Arial" w:cs="Arial"/>
                          <w:color w:val="000000"/>
                          <w:sz w:val="28"/>
                        </w:rPr>
                        <w:t>________________________________</w:t>
                      </w:r>
                      <w:r>
                        <w:rPr>
                          <w:rFonts w:ascii="Arial" w:eastAsia="Arial" w:hAnsi="Arial" w:cs="Arial"/>
                          <w:color w:val="000000"/>
                          <w:sz w:val="28"/>
                        </w:rPr>
                        <w:tab/>
                      </w:r>
                      <w:r>
                        <w:rPr>
                          <w:rFonts w:ascii="Arial" w:eastAsia="Arial" w:hAnsi="Arial" w:cs="Arial"/>
                          <w:color w:val="000000"/>
                          <w:sz w:val="28"/>
                        </w:rPr>
                        <w:tab/>
                        <w:t>____________________</w:t>
                      </w:r>
                    </w:p>
                    <w:p w14:paraId="121BB424" w14:textId="3A615872" w:rsidR="00B11734" w:rsidRPr="00643871" w:rsidRDefault="00643871">
                      <w:pPr>
                        <w:spacing w:after="0" w:line="240" w:lineRule="auto"/>
                        <w:textDirection w:val="btLr"/>
                        <w:rPr>
                          <w:rFonts w:asciiTheme="minorHAnsi" w:hAnsiTheme="minorHAnsi" w:cstheme="minorHAnsi"/>
                        </w:rPr>
                      </w:pPr>
                      <w:r w:rsidRPr="00643871">
                        <w:rPr>
                          <w:rFonts w:asciiTheme="minorHAnsi" w:eastAsia="Arial" w:hAnsiTheme="minorHAnsi" w:cstheme="minorHAnsi"/>
                          <w:color w:val="000000"/>
                        </w:rPr>
                        <w:t>Name</w:t>
                      </w:r>
                      <w:r w:rsidRPr="00643871">
                        <w:rPr>
                          <w:rFonts w:asciiTheme="minorHAnsi" w:eastAsia="Arial" w:hAnsiTheme="minorHAnsi" w:cstheme="minorHAnsi"/>
                          <w:color w:val="000000"/>
                        </w:rPr>
                        <w:tab/>
                      </w:r>
                      <w:r w:rsidRPr="00643871">
                        <w:rPr>
                          <w:rFonts w:asciiTheme="minorHAnsi" w:eastAsia="Arial" w:hAnsiTheme="minorHAnsi" w:cstheme="minorHAnsi"/>
                          <w:color w:val="000000"/>
                        </w:rPr>
                        <w:tab/>
                      </w:r>
                      <w:r w:rsidRPr="00643871">
                        <w:rPr>
                          <w:rFonts w:asciiTheme="minorHAnsi" w:eastAsia="Arial" w:hAnsiTheme="minorHAnsi" w:cstheme="minorHAnsi"/>
                          <w:color w:val="000000"/>
                        </w:rPr>
                        <w:tab/>
                      </w:r>
                      <w:r w:rsidRPr="00643871">
                        <w:rPr>
                          <w:rFonts w:asciiTheme="minorHAnsi" w:eastAsia="Arial" w:hAnsiTheme="minorHAnsi" w:cstheme="minorHAnsi"/>
                          <w:color w:val="000000"/>
                        </w:rPr>
                        <w:tab/>
                      </w:r>
                      <w:r w:rsidRPr="00643871">
                        <w:rPr>
                          <w:rFonts w:asciiTheme="minorHAnsi" w:eastAsia="Arial" w:hAnsiTheme="minorHAnsi" w:cstheme="minorHAnsi"/>
                          <w:color w:val="000000"/>
                        </w:rPr>
                        <w:tab/>
                      </w:r>
                      <w:r w:rsidRPr="00643871">
                        <w:rPr>
                          <w:rFonts w:asciiTheme="minorHAnsi" w:eastAsia="Arial" w:hAnsiTheme="minorHAnsi" w:cstheme="minorHAnsi"/>
                          <w:color w:val="000000"/>
                        </w:rPr>
                        <w:tab/>
                      </w:r>
                      <w:r w:rsidR="00763D37" w:rsidRPr="00643871">
                        <w:rPr>
                          <w:rFonts w:asciiTheme="minorHAnsi" w:eastAsia="Arial" w:hAnsiTheme="minorHAnsi" w:cstheme="minorHAnsi"/>
                          <w:color w:val="000000"/>
                        </w:rPr>
                        <w:t xml:space="preserve">                       </w:t>
                      </w:r>
                      <w:r>
                        <w:rPr>
                          <w:rFonts w:asciiTheme="minorHAnsi" w:eastAsia="Arial" w:hAnsiTheme="minorHAnsi" w:cstheme="minorHAnsi"/>
                          <w:color w:val="000000"/>
                        </w:rPr>
                        <w:t xml:space="preserve">      </w:t>
                      </w:r>
                      <w:r w:rsidRPr="00643871">
                        <w:rPr>
                          <w:rFonts w:asciiTheme="minorHAnsi" w:eastAsia="Arial" w:hAnsiTheme="minorHAnsi" w:cstheme="minorHAnsi"/>
                          <w:color w:val="000000"/>
                        </w:rPr>
                        <w:t>Date</w:t>
                      </w:r>
                    </w:p>
                    <w:p w14:paraId="4BDA7F1A" w14:textId="77777777" w:rsidR="00B11734" w:rsidRDefault="00B11734">
                      <w:pPr>
                        <w:spacing w:line="258" w:lineRule="auto"/>
                        <w:textDirection w:val="btLr"/>
                      </w:pPr>
                    </w:p>
                    <w:p w14:paraId="184AE0DD" w14:textId="77777777" w:rsidR="00B11734" w:rsidRDefault="00B11734">
                      <w:pPr>
                        <w:spacing w:line="258" w:lineRule="auto"/>
                        <w:textDirection w:val="btLr"/>
                      </w:pPr>
                    </w:p>
                  </w:txbxContent>
                </v:textbox>
                <w10:wrap anchorx="page" anchory="page"/>
              </v:rect>
            </w:pict>
          </mc:Fallback>
        </mc:AlternateContent>
      </w:r>
    </w:p>
    <w:p w14:paraId="04031883" w14:textId="77777777" w:rsidR="00B11734" w:rsidRDefault="00B11734"/>
    <w:p w14:paraId="05D012B0" w14:textId="77777777" w:rsidR="00B11734" w:rsidRDefault="00B11734"/>
    <w:sectPr w:rsidR="00B11734">
      <w:headerReference w:type="even" r:id="rId12"/>
      <w:head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8790C" w14:textId="77777777" w:rsidR="00816B06" w:rsidRDefault="00816B06">
      <w:pPr>
        <w:spacing w:after="0" w:line="240" w:lineRule="auto"/>
      </w:pPr>
      <w:r>
        <w:separator/>
      </w:r>
    </w:p>
  </w:endnote>
  <w:endnote w:type="continuationSeparator" w:id="0">
    <w:p w14:paraId="440648D2" w14:textId="77777777" w:rsidR="00816B06" w:rsidRDefault="0081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CC86F" w14:textId="77777777" w:rsidR="00816B06" w:rsidRDefault="00816B06">
      <w:pPr>
        <w:spacing w:after="0" w:line="240" w:lineRule="auto"/>
      </w:pPr>
      <w:r>
        <w:separator/>
      </w:r>
    </w:p>
  </w:footnote>
  <w:footnote w:type="continuationSeparator" w:id="0">
    <w:p w14:paraId="426E5E74" w14:textId="77777777" w:rsidR="00816B06" w:rsidRDefault="0081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064C" w14:textId="77777777" w:rsidR="00B11734" w:rsidRDefault="00B117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2481" w14:textId="77777777" w:rsidR="00B11734" w:rsidRDefault="00B117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0350" w14:textId="77777777" w:rsidR="00B11734" w:rsidRDefault="00B1173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34"/>
    <w:rsid w:val="004C4623"/>
    <w:rsid w:val="00643871"/>
    <w:rsid w:val="00763D37"/>
    <w:rsid w:val="007949FD"/>
    <w:rsid w:val="00816B06"/>
    <w:rsid w:val="00A06002"/>
    <w:rsid w:val="00B1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6F48"/>
  <w15:docId w15:val="{B30C35FC-0D25-4EAB-8845-093CC67A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C2375"/>
    <w:rPr>
      <w:color w:val="0563C1" w:themeColor="hyperlink"/>
      <w:u w:val="single"/>
    </w:rPr>
  </w:style>
  <w:style w:type="paragraph" w:styleId="NoSpacing">
    <w:name w:val="No Spacing"/>
    <w:uiPriority w:val="1"/>
    <w:qFormat/>
    <w:rsid w:val="006F3AD2"/>
    <w:pPr>
      <w:spacing w:after="0" w:line="240" w:lineRule="auto"/>
    </w:pPr>
  </w:style>
  <w:style w:type="character" w:styleId="CommentReference">
    <w:name w:val="annotation reference"/>
    <w:basedOn w:val="DefaultParagraphFont"/>
    <w:uiPriority w:val="99"/>
    <w:semiHidden/>
    <w:unhideWhenUsed/>
    <w:rsid w:val="00B60157"/>
    <w:rPr>
      <w:sz w:val="16"/>
      <w:szCs w:val="16"/>
    </w:rPr>
  </w:style>
  <w:style w:type="paragraph" w:styleId="CommentText">
    <w:name w:val="annotation text"/>
    <w:basedOn w:val="Normal"/>
    <w:link w:val="CommentTextChar"/>
    <w:uiPriority w:val="99"/>
    <w:semiHidden/>
    <w:unhideWhenUsed/>
    <w:rsid w:val="00B60157"/>
    <w:pPr>
      <w:spacing w:line="240" w:lineRule="auto"/>
    </w:pPr>
    <w:rPr>
      <w:sz w:val="20"/>
      <w:szCs w:val="20"/>
    </w:rPr>
  </w:style>
  <w:style w:type="character" w:customStyle="1" w:styleId="CommentTextChar">
    <w:name w:val="Comment Text Char"/>
    <w:basedOn w:val="DefaultParagraphFont"/>
    <w:link w:val="CommentText"/>
    <w:uiPriority w:val="99"/>
    <w:semiHidden/>
    <w:rsid w:val="00B60157"/>
    <w:rPr>
      <w:sz w:val="20"/>
      <w:szCs w:val="20"/>
    </w:rPr>
  </w:style>
  <w:style w:type="paragraph" w:styleId="CommentSubject">
    <w:name w:val="annotation subject"/>
    <w:basedOn w:val="CommentText"/>
    <w:next w:val="CommentText"/>
    <w:link w:val="CommentSubjectChar"/>
    <w:uiPriority w:val="99"/>
    <w:semiHidden/>
    <w:unhideWhenUsed/>
    <w:rsid w:val="00B60157"/>
    <w:rPr>
      <w:b/>
      <w:bCs/>
    </w:rPr>
  </w:style>
  <w:style w:type="character" w:customStyle="1" w:styleId="CommentSubjectChar">
    <w:name w:val="Comment Subject Char"/>
    <w:basedOn w:val="CommentTextChar"/>
    <w:link w:val="CommentSubject"/>
    <w:uiPriority w:val="99"/>
    <w:semiHidden/>
    <w:rsid w:val="00B60157"/>
    <w:rPr>
      <w:b/>
      <w:bCs/>
      <w:sz w:val="20"/>
      <w:szCs w:val="20"/>
    </w:rPr>
  </w:style>
  <w:style w:type="paragraph" w:styleId="BalloonText">
    <w:name w:val="Balloon Text"/>
    <w:basedOn w:val="Normal"/>
    <w:link w:val="BalloonTextChar"/>
    <w:uiPriority w:val="99"/>
    <w:semiHidden/>
    <w:unhideWhenUsed/>
    <w:rsid w:val="00B6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57"/>
    <w:rPr>
      <w:rFonts w:ascii="Segoe UI" w:hAnsi="Segoe UI" w:cs="Segoe UI"/>
      <w:sz w:val="18"/>
      <w:szCs w:val="18"/>
    </w:rPr>
  </w:style>
  <w:style w:type="paragraph" w:styleId="Header">
    <w:name w:val="header"/>
    <w:basedOn w:val="Normal"/>
    <w:link w:val="HeaderChar"/>
    <w:uiPriority w:val="99"/>
    <w:unhideWhenUsed/>
    <w:rsid w:val="003E6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038"/>
  </w:style>
  <w:style w:type="paragraph" w:styleId="Footer">
    <w:name w:val="footer"/>
    <w:basedOn w:val="Normal"/>
    <w:link w:val="FooterChar"/>
    <w:uiPriority w:val="99"/>
    <w:unhideWhenUsed/>
    <w:rsid w:val="003E6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038"/>
  </w:style>
  <w:style w:type="paragraph" w:styleId="Revision">
    <w:name w:val="Revision"/>
    <w:hidden/>
    <w:uiPriority w:val="99"/>
    <w:semiHidden/>
    <w:rsid w:val="0086122E"/>
    <w:pPr>
      <w:spacing w:after="0" w:line="240" w:lineRule="auto"/>
    </w:pPr>
  </w:style>
  <w:style w:type="paragraph" w:styleId="ListParagraph">
    <w:name w:val="List Paragraph"/>
    <w:basedOn w:val="Normal"/>
    <w:uiPriority w:val="34"/>
    <w:qFormat/>
    <w:rsid w:val="008C02F8"/>
    <w:pPr>
      <w:ind w:left="720"/>
      <w:contextualSpacing/>
    </w:pPr>
  </w:style>
  <w:style w:type="character" w:styleId="FollowedHyperlink">
    <w:name w:val="FollowedHyperlink"/>
    <w:basedOn w:val="DefaultParagraphFont"/>
    <w:uiPriority w:val="99"/>
    <w:semiHidden/>
    <w:unhideWhenUsed/>
    <w:rsid w:val="00110E66"/>
    <w:rPr>
      <w:color w:val="954F72" w:themeColor="followedHyperlink"/>
      <w:u w:val="single"/>
    </w:rPr>
  </w:style>
  <w:style w:type="character" w:customStyle="1" w:styleId="UnresolvedMention1">
    <w:name w:val="Unresolved Mention1"/>
    <w:basedOn w:val="DefaultParagraphFont"/>
    <w:uiPriority w:val="99"/>
    <w:semiHidden/>
    <w:unhideWhenUsed/>
    <w:rsid w:val="00EA75DD"/>
    <w:rPr>
      <w:color w:val="605E5C"/>
      <w:shd w:val="clear" w:color="auto" w:fill="E1DFDD"/>
    </w:rPr>
  </w:style>
  <w:style w:type="character" w:styleId="UnresolvedMention">
    <w:name w:val="Unresolved Mention"/>
    <w:basedOn w:val="DefaultParagraphFont"/>
    <w:uiPriority w:val="99"/>
    <w:semiHidden/>
    <w:unhideWhenUsed/>
    <w:rsid w:val="009671B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20">
      <w:bodyDiv w:val="1"/>
      <w:marLeft w:val="0"/>
      <w:marRight w:val="0"/>
      <w:marTop w:val="0"/>
      <w:marBottom w:val="0"/>
      <w:divBdr>
        <w:top w:val="none" w:sz="0" w:space="0" w:color="auto"/>
        <w:left w:val="none" w:sz="0" w:space="0" w:color="auto"/>
        <w:bottom w:val="none" w:sz="0" w:space="0" w:color="auto"/>
        <w:right w:val="none" w:sz="0" w:space="0" w:color="auto"/>
      </w:divBdr>
    </w:div>
    <w:div w:id="2129812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teresagp\Downloads\%20https\drive.google.com\file\d\1yiQRcYIm_ZAPpi-v9Y_jCl76O-cgWEbd\view%3fusp=shar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cnet.universityofcalifornia.edu/labor/bargaining-units/ix/docs/ix_07a_nsf-appointments_2021-2026.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cnet.universityofcalifornia.edu/labor/bargaining-units/ix/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cnet.universityofcalifornia.edu/compensation-and-benefits/index.html" TargetMode="External"/><Relationship Id="rId4" Type="http://schemas.openxmlformats.org/officeDocument/2006/relationships/webSettings" Target="webSettings.xml"/><Relationship Id="rId9" Type="http://schemas.openxmlformats.org/officeDocument/2006/relationships/hyperlink" Target="https://apo.berkeley.edu/unit-18-lecturer-and-senior-lectur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BqNMIv9QnnvoVzIj4ZU6QCU/8A==">CgMxLjA4AHIhMVFzckU0MDNLTWhNR016T0c0NXFmc0NFdVBVLU1yQ1Ix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dc:creator>
  <cp:lastModifiedBy>Teresa Gonzalez</cp:lastModifiedBy>
  <cp:revision>2</cp:revision>
  <dcterms:created xsi:type="dcterms:W3CDTF">2025-05-29T23:17:00Z</dcterms:created>
  <dcterms:modified xsi:type="dcterms:W3CDTF">2025-05-29T23:17:00Z</dcterms:modified>
</cp:coreProperties>
</file>